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B13CB8">
            <w:pPr>
              <w:jc w:val="right"/>
              <w:rPr>
                <w:sz w:val="22"/>
                <w:szCs w:val="22"/>
              </w:rPr>
            </w:pPr>
            <w:r w:rsidRPr="00BC1821">
              <w:rPr>
                <w:sz w:val="22"/>
                <w:szCs w:val="22"/>
              </w:rPr>
              <w:t xml:space="preserve">                 </w:t>
            </w:r>
            <w:r w:rsidR="00555D29">
              <w:t xml:space="preserve"> Протокол </w:t>
            </w:r>
            <w:r w:rsidR="00B54515" w:rsidRPr="00A16341">
              <w:t>№</w:t>
            </w:r>
            <w:r w:rsidR="00B13CB8">
              <w:t xml:space="preserve"> 148</w:t>
            </w:r>
          </w:p>
        </w:tc>
      </w:tr>
      <w:tr w:rsidR="00265A97" w:rsidRPr="00BC1821">
        <w:trPr>
          <w:trHeight w:val="391"/>
        </w:trPr>
        <w:tc>
          <w:tcPr>
            <w:tcW w:w="4875" w:type="dxa"/>
          </w:tcPr>
          <w:p w:rsidR="00265A97" w:rsidRPr="00BC1821" w:rsidRDefault="00B54515" w:rsidP="00B13CB8">
            <w:pPr>
              <w:jc w:val="right"/>
              <w:rPr>
                <w:sz w:val="22"/>
                <w:szCs w:val="22"/>
              </w:rPr>
            </w:pPr>
            <w:r w:rsidRPr="00A16341">
              <w:t>«</w:t>
            </w:r>
            <w:r w:rsidR="00B13CB8">
              <w:t>09</w:t>
            </w:r>
            <w:r w:rsidRPr="00A16341">
              <w:t>»</w:t>
            </w:r>
            <w:r w:rsidR="00B13CB8">
              <w:t xml:space="preserve"> июля 2024</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13CB8">
        <w:t>287-СС-2024</w:t>
      </w:r>
      <w:r w:rsidRPr="005E6269">
        <w:t xml:space="preserve">от </w:t>
      </w:r>
      <w:r w:rsidR="00555D29" w:rsidRPr="005E6269">
        <w:t>«</w:t>
      </w:r>
      <w:proofErr w:type="gramStart"/>
      <w:r w:rsidR="00B13CB8">
        <w:t>09</w:t>
      </w:r>
      <w:r w:rsidR="00555D29" w:rsidRPr="005E6269">
        <w:t>»</w:t>
      </w:r>
      <w:r w:rsidR="00B13CB8">
        <w:t>июля</w:t>
      </w:r>
      <w:proofErr w:type="gramEnd"/>
      <w:r w:rsidR="001956DC">
        <w:t xml:space="preserve"> </w:t>
      </w:r>
      <w:r w:rsidR="00DA44D7">
        <w:t>2024</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w:t>
      </w:r>
      <w:proofErr w:type="spellStart"/>
      <w:r w:rsidR="00010018" w:rsidRPr="005A4719">
        <w:t>Славнефть</w:t>
      </w:r>
      <w:proofErr w:type="spellEnd"/>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 </w:t>
      </w:r>
      <w:r w:rsidR="001C0230">
        <w:rPr>
          <w:b/>
        </w:rPr>
        <w:t>оросителей для градирни</w:t>
      </w:r>
      <w:r w:rsidR="005D411D">
        <w:rPr>
          <w:b/>
        </w:rPr>
        <w:t xml:space="preserve"> </w:t>
      </w:r>
      <w:r w:rsidR="005D411D">
        <w:t>цех</w:t>
      </w:r>
      <w:r w:rsidR="001C0230">
        <w:t>а №17</w:t>
      </w:r>
      <w:r w:rsidR="005D411D">
        <w:t xml:space="preserve"> ПАО «</w:t>
      </w:r>
      <w:proofErr w:type="spellStart"/>
      <w:r w:rsidR="005D411D">
        <w:t>Славнефть</w:t>
      </w:r>
      <w:proofErr w:type="spellEnd"/>
      <w:r w:rsidR="005D411D">
        <w:t>-ЯНОС»</w:t>
      </w:r>
      <w:r w:rsidR="003453A0" w:rsidRPr="001827E1">
        <w:rPr>
          <w:szCs w:val="28"/>
        </w:rPr>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w:t>
      </w:r>
      <w:proofErr w:type="gramStart"/>
      <w:r w:rsidRPr="00984AD6">
        <w:rPr>
          <w:rFonts w:cs="Arial"/>
          <w:szCs w:val="22"/>
        </w:rPr>
        <w:t>отзыва</w:t>
      </w:r>
      <w:proofErr w:type="gramEnd"/>
      <w:r w:rsidRPr="00984AD6">
        <w:rPr>
          <w:rFonts w:cs="Arial"/>
          <w:szCs w:val="22"/>
        </w:rPr>
        <w:t xml:space="preserve">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t>ПАО</w:t>
      </w:r>
      <w:r w:rsidRPr="00445ED0">
        <w:t xml:space="preserve"> «</w:t>
      </w:r>
      <w:proofErr w:type="spellStart"/>
      <w:r w:rsidRPr="00445ED0">
        <w:t>Славнефть</w:t>
      </w:r>
      <w:proofErr w:type="spellEnd"/>
      <w:r w:rsidRPr="00445ED0">
        <w:t xml:space="preserve">-ЯНОС» вправе начислить, </w:t>
      </w:r>
      <w:r>
        <w:t>а контрагент обязан</w:t>
      </w:r>
      <w:r w:rsidRPr="00445ED0">
        <w:t xml:space="preserve"> уплатить, пени в размере 0,5% </w:t>
      </w:r>
      <w:r w:rsidRPr="00445ED0">
        <w:lastRenderedPageBreak/>
        <w:t xml:space="preserve">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proofErr w:type="gramStart"/>
      <w:r w:rsidR="002C5FAE">
        <w:rPr>
          <w:rFonts w:cs="Arial"/>
        </w:rPr>
        <w:t xml:space="preserve">  </w:t>
      </w:r>
      <w:r w:rsidRPr="0049210A">
        <w:rPr>
          <w:rFonts w:cs="Arial"/>
        </w:rPr>
        <w:t xml:space="preserve"> </w:t>
      </w:r>
      <w:r w:rsidRPr="002C5FAE">
        <w:rPr>
          <w:rFonts w:cs="Arial"/>
          <w:b/>
        </w:rPr>
        <w:t>«</w:t>
      </w:r>
      <w:proofErr w:type="gramEnd"/>
      <w:r w:rsidR="00B666AD">
        <w:rPr>
          <w:rFonts w:cs="Arial"/>
          <w:b/>
        </w:rPr>
        <w:t>30</w:t>
      </w:r>
      <w:r w:rsidRPr="002C5FAE">
        <w:rPr>
          <w:rFonts w:cs="Arial"/>
          <w:b/>
        </w:rPr>
        <w:t xml:space="preserve">» </w:t>
      </w:r>
      <w:r w:rsidR="005D411D">
        <w:rPr>
          <w:rFonts w:cs="Arial"/>
          <w:b/>
        </w:rPr>
        <w:t>сентября</w:t>
      </w:r>
      <w:r w:rsidR="00636E5B">
        <w:rPr>
          <w:rFonts w:cs="Arial"/>
          <w:b/>
        </w:rPr>
        <w:t xml:space="preserve"> </w:t>
      </w:r>
      <w:r w:rsidR="009A1878" w:rsidRPr="002C5FAE">
        <w:rPr>
          <w:rFonts w:cs="Arial"/>
          <w:b/>
        </w:rPr>
        <w:t>202</w:t>
      </w:r>
      <w:r w:rsidR="00DA44D7" w:rsidRPr="002C5FAE">
        <w:rPr>
          <w:rFonts w:cs="Arial"/>
          <w:b/>
        </w:rPr>
        <w:t>4</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lastRenderedPageBreak/>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Pr="00677BD2"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 xml:space="preserve">и (в формате MS </w:t>
      </w:r>
      <w:proofErr w:type="spellStart"/>
      <w:r>
        <w:t>Excel</w:t>
      </w:r>
      <w:proofErr w:type="spellEnd"/>
      <w:r>
        <w:t xml:space="preserve">, MS </w:t>
      </w:r>
      <w:proofErr w:type="spellStart"/>
      <w:r>
        <w:t>Word</w:t>
      </w:r>
      <w:proofErr w:type="spellEnd"/>
      <w:r>
        <w:t>).</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3546">
        <w:rPr>
          <w:b/>
        </w:rPr>
        <w:t>4</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3546">
        <w:rPr>
          <w:b/>
        </w:rPr>
        <w:t>4</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proofErr w:type="gramStart"/>
      <w:r w:rsidR="007458F2">
        <w:rPr>
          <w:b/>
          <w:u w:val="single"/>
        </w:rPr>
        <w:t>3</w:t>
      </w:r>
      <w:r w:rsidR="00B666AD">
        <w:rPr>
          <w:b/>
          <w:u w:val="single"/>
        </w:rPr>
        <w:t>0</w:t>
      </w:r>
      <w:r w:rsidR="00967582" w:rsidRPr="004A3546">
        <w:rPr>
          <w:b/>
          <w:u w:val="single"/>
        </w:rPr>
        <w:t xml:space="preserve">» </w:t>
      </w:r>
      <w:r w:rsidR="00B666AD">
        <w:rPr>
          <w:b/>
          <w:u w:val="single"/>
        </w:rPr>
        <w:t xml:space="preserve"> </w:t>
      </w:r>
      <w:r w:rsidR="005D411D">
        <w:rPr>
          <w:b/>
          <w:u w:val="single"/>
        </w:rPr>
        <w:t>сентября</w:t>
      </w:r>
      <w:proofErr w:type="gramEnd"/>
      <w:r w:rsidR="00A43BBF" w:rsidRPr="004A3546">
        <w:rPr>
          <w:b/>
          <w:u w:val="single"/>
        </w:rPr>
        <w:t xml:space="preserve"> </w:t>
      </w:r>
      <w:r w:rsidR="00170156" w:rsidRPr="004A3546">
        <w:rPr>
          <w:b/>
          <w:u w:val="single"/>
        </w:rPr>
        <w:t>202</w:t>
      </w:r>
      <w:r w:rsidR="004A3546" w:rsidRPr="004A3546">
        <w:rPr>
          <w:b/>
          <w:u w:val="single"/>
        </w:rPr>
        <w:t>4</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B13CB8">
        <w:t>18</w:t>
      </w:r>
      <w:r w:rsidR="00DB4D8F" w:rsidRPr="00A16341">
        <w:t xml:space="preserve">» </w:t>
      </w:r>
      <w:r w:rsidR="00B13CB8">
        <w:t>июля 2024</w:t>
      </w:r>
      <w:r w:rsidR="00DB4D8F" w:rsidRPr="00A16341">
        <w:t xml:space="preserve"> 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2F48BC" w:rsidRPr="00840DA3" w:rsidRDefault="002F48BC" w:rsidP="004D72F8">
      <w:pPr>
        <w:jc w:val="both"/>
      </w:pPr>
      <w:r w:rsidRPr="00840DA3">
        <w:t xml:space="preserve">По вопросам технического </w:t>
      </w:r>
      <w:r w:rsidR="0074632F">
        <w:t xml:space="preserve">и организационного </w:t>
      </w:r>
      <w:r w:rsidRPr="00840DA3">
        <w:t>характера обращаться:</w:t>
      </w:r>
    </w:p>
    <w:p w:rsidR="00B13CB8" w:rsidRPr="00B13CB8" w:rsidRDefault="00B13CB8" w:rsidP="00B13CB8">
      <w:pPr>
        <w:spacing w:after="160" w:line="259" w:lineRule="auto"/>
        <w:rPr>
          <w:rFonts w:ascii="Calibri" w:eastAsia="Calibri" w:hAnsi="Calibri"/>
          <w:b/>
          <w:bCs/>
          <w:lang w:eastAsia="en-US"/>
        </w:rPr>
      </w:pPr>
      <w:r w:rsidRPr="00B13CB8">
        <w:rPr>
          <w:rFonts w:ascii="Calibri" w:eastAsia="Calibri" w:hAnsi="Calibri"/>
          <w:b/>
          <w:bCs/>
          <w:lang w:eastAsia="en-US"/>
        </w:rPr>
        <w:t>Специалист Тендерного комитета</w:t>
      </w:r>
    </w:p>
    <w:p w:rsidR="00B13CB8" w:rsidRPr="00B13CB8" w:rsidRDefault="00B13CB8" w:rsidP="00B13CB8">
      <w:pPr>
        <w:spacing w:after="160" w:line="259" w:lineRule="auto"/>
        <w:rPr>
          <w:rFonts w:ascii="Calibri" w:eastAsia="Calibri" w:hAnsi="Calibri"/>
          <w:b/>
          <w:bCs/>
          <w:lang w:eastAsia="en-US"/>
        </w:rPr>
      </w:pPr>
      <w:r w:rsidRPr="00B13CB8">
        <w:rPr>
          <w:rFonts w:ascii="Calibri" w:eastAsia="Calibri" w:hAnsi="Calibri"/>
          <w:b/>
          <w:bCs/>
          <w:lang w:eastAsia="en-US"/>
        </w:rPr>
        <w:t>Сулейманова Ольга Дмитриевна</w:t>
      </w:r>
    </w:p>
    <w:p w:rsidR="00B13CB8" w:rsidRPr="00B13CB8" w:rsidRDefault="00B13CB8" w:rsidP="00B13CB8">
      <w:pPr>
        <w:spacing w:after="160" w:line="259" w:lineRule="auto"/>
        <w:ind w:firstLine="708"/>
        <w:contextualSpacing/>
        <w:jc w:val="both"/>
        <w:rPr>
          <w:b/>
          <w:bCs/>
          <w:color w:val="0000FF"/>
          <w:u w:val="single"/>
        </w:rPr>
      </w:pPr>
      <w:r w:rsidRPr="00B13CB8">
        <w:rPr>
          <w:rFonts w:ascii="Calibri" w:eastAsia="Calibri" w:hAnsi="Calibri"/>
          <w:b/>
          <w:bCs/>
          <w:lang w:eastAsia="en-US"/>
        </w:rPr>
        <w:t xml:space="preserve"> телефон 8 (4852) 49-91-44,  </w:t>
      </w:r>
      <w:r w:rsidRPr="00B13CB8">
        <w:rPr>
          <w:rFonts w:ascii="Calibri" w:eastAsia="Calibri" w:hAnsi="Calibri"/>
          <w:b/>
          <w:bCs/>
          <w:lang w:val="en-US" w:eastAsia="en-US"/>
        </w:rPr>
        <w:t>e</w:t>
      </w:r>
      <w:r w:rsidRPr="00B13CB8">
        <w:rPr>
          <w:rFonts w:ascii="Calibri" w:eastAsia="Calibri" w:hAnsi="Calibri"/>
          <w:b/>
          <w:bCs/>
          <w:lang w:eastAsia="en-US"/>
        </w:rPr>
        <w:t>-</w:t>
      </w:r>
      <w:r w:rsidRPr="00B13CB8">
        <w:rPr>
          <w:rFonts w:ascii="Calibri" w:eastAsia="Calibri" w:hAnsi="Calibri"/>
          <w:b/>
          <w:bCs/>
          <w:lang w:val="en-US" w:eastAsia="en-US"/>
        </w:rPr>
        <w:t>mail</w:t>
      </w:r>
      <w:r w:rsidRPr="00B13CB8">
        <w:rPr>
          <w:rFonts w:ascii="Calibri" w:eastAsia="Calibri" w:hAnsi="Calibri"/>
          <w:b/>
          <w:bCs/>
          <w:lang w:eastAsia="en-US"/>
        </w:rPr>
        <w:t>:</w:t>
      </w:r>
      <w:r w:rsidRPr="00B13CB8">
        <w:rPr>
          <w:b/>
          <w:bCs/>
        </w:rPr>
        <w:t xml:space="preserve"> </w:t>
      </w:r>
      <w:r w:rsidRPr="00B13CB8">
        <w:rPr>
          <w:rFonts w:ascii="Arial" w:hAnsi="Arial"/>
          <w:sz w:val="22"/>
        </w:rPr>
        <w:t xml:space="preserve"> </w:t>
      </w:r>
      <w:hyperlink r:id="rId9" w:history="1">
        <w:r w:rsidRPr="00B13CB8">
          <w:rPr>
            <w:b/>
            <w:bCs/>
            <w:color w:val="0563C1"/>
            <w:u w:val="single"/>
          </w:rPr>
          <w:t>SuleimanovaOD@</w:t>
        </w:r>
        <w:r w:rsidRPr="00B13CB8">
          <w:rPr>
            <w:b/>
            <w:bCs/>
            <w:color w:val="0563C1"/>
            <w:u w:val="single"/>
            <w:lang w:val="en-US"/>
          </w:rPr>
          <w:t>post</w:t>
        </w:r>
        <w:r w:rsidRPr="00B13CB8">
          <w:rPr>
            <w:b/>
            <w:bCs/>
            <w:color w:val="0563C1"/>
            <w:u w:val="single"/>
          </w:rPr>
          <w:t>.yanos.slavneft.ru</w:t>
        </w:r>
      </w:hyperlink>
    </w:p>
    <w:p w:rsidR="002F48BC" w:rsidRPr="00FF6F38" w:rsidRDefault="00B666AD" w:rsidP="004D72F8">
      <w:pPr>
        <w:ind w:firstLine="708"/>
        <w:jc w:val="both"/>
      </w:pPr>
      <w:bookmarkStart w:id="0" w:name="_GoBack"/>
      <w:bookmarkEnd w:id="0"/>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proofErr w:type="spellStart"/>
        <w:r w:rsidR="00840DA3" w:rsidRPr="003E21D1">
          <w:rPr>
            <w:rStyle w:val="af5"/>
            <w:lang w:val="en-US"/>
          </w:rPr>
          <w:t>yaroslavl</w:t>
        </w:r>
        <w:proofErr w:type="spellEnd"/>
        <w:r w:rsidR="00840DA3" w:rsidRPr="003E21D1">
          <w:rPr>
            <w:rStyle w:val="af5"/>
          </w:rPr>
          <w:t>.</w:t>
        </w:r>
        <w:proofErr w:type="spellStart"/>
        <w:r w:rsidR="00840DA3" w:rsidRPr="003E21D1">
          <w:rPr>
            <w:rStyle w:val="af5"/>
            <w:lang w:val="en-US"/>
          </w:rPr>
          <w:t>su</w:t>
        </w:r>
        <w:proofErr w:type="spellEnd"/>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lastRenderedPageBreak/>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w:t>
      </w:r>
      <w:proofErr w:type="spellStart"/>
      <w:r>
        <w:rPr>
          <w:color w:val="000000"/>
        </w:rPr>
        <w:t>Славнефть</w:t>
      </w:r>
      <w:proofErr w:type="spellEnd"/>
      <w:r>
        <w:rPr>
          <w:color w:val="000000"/>
        </w:rPr>
        <w:t xml:space="preserve">-ЯНОС»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Pr="006E66E2">
          <w:rPr>
            <w:rStyle w:val="af5"/>
          </w:rPr>
          <w:t>http://refinery.yaroslavl.ru</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Pr="006E66E2">
          <w:rPr>
            <w:rStyle w:val="af5"/>
          </w:rPr>
          <w:t>http://refinery.yaroslavl.ru</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4A3546" w:rsidRPr="00793F75">
          <w:rPr>
            <w:rStyle w:val="af5"/>
          </w:rPr>
          <w:t>http://refinery.yaroslavl.ru/procurement/documentation/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3C2CF2">
        <w:rPr>
          <w:u w:val="single"/>
        </w:rPr>
        <w:t>4</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Default="00717FCD" w:rsidP="00717FCD">
      <w:r>
        <w:t xml:space="preserve">5. Форма </w:t>
      </w:r>
      <w:r w:rsidR="003C2CF2">
        <w:t>6,7,8 - 3 экз.</w:t>
      </w:r>
      <w:r w:rsidR="001F378F">
        <w:t>;</w:t>
      </w:r>
    </w:p>
    <w:p w:rsidR="001F378F" w:rsidRPr="00EE45AC" w:rsidRDefault="001F378F" w:rsidP="00717FCD">
      <w:r>
        <w:t>6. Заказная документация – 1 экз.</w:t>
      </w:r>
    </w:p>
    <w:p w:rsidR="00FE0FD3" w:rsidRDefault="00FE0FD3" w:rsidP="00385EBD"/>
    <w:p w:rsidR="00417486" w:rsidRDefault="00417486" w:rsidP="00385EBD"/>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91D" w:rsidRDefault="0068491D">
      <w:r>
        <w:separator/>
      </w:r>
    </w:p>
  </w:endnote>
  <w:endnote w:type="continuationSeparator" w:id="0">
    <w:p w:rsidR="0068491D" w:rsidRDefault="0068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91D" w:rsidRDefault="0068491D">
      <w:r>
        <w:separator/>
      </w:r>
    </w:p>
  </w:footnote>
  <w:footnote w:type="continuationSeparator" w:id="0">
    <w:p w:rsidR="0068491D" w:rsidRDefault="00684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0AAB"/>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53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0230"/>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78F"/>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1214"/>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6D94"/>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2C4"/>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19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11D"/>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36E5B"/>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491D"/>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5369"/>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AF"/>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3CB8"/>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C47"/>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98B"/>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468"/>
    <w:rsid w:val="00E759B7"/>
    <w:rsid w:val="00E75B2D"/>
    <w:rsid w:val="00E75BF5"/>
    <w:rsid w:val="00E769B0"/>
    <w:rsid w:val="00E80B4A"/>
    <w:rsid w:val="00E812CF"/>
    <w:rsid w:val="00E81479"/>
    <w:rsid w:val="00E819D0"/>
    <w:rsid w:val="00E822BD"/>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1BE"/>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6FDC"/>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4BA8EE"/>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refinery.yaroslavl.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finery.yaroslavl.su" TargetMode="External"/><Relationship Id="rId4" Type="http://schemas.openxmlformats.org/officeDocument/2006/relationships/settings" Target="settings.xml"/><Relationship Id="rId9" Type="http://schemas.openxmlformats.org/officeDocument/2006/relationships/hyperlink" Target="mailto:SuleimanovaOD@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26DC-A6B3-4ACF-B721-DB4ED353E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2142</Words>
  <Characters>15278</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17386</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21</cp:revision>
  <cp:lastPrinted>2024-04-27T10:55:00Z</cp:lastPrinted>
  <dcterms:created xsi:type="dcterms:W3CDTF">2024-03-25T07:16:00Z</dcterms:created>
  <dcterms:modified xsi:type="dcterms:W3CDTF">2024-07-09T10:10:00Z</dcterms:modified>
</cp:coreProperties>
</file>